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EFAC" w14:textId="7EACC35B" w:rsidR="00FF7B46" w:rsidRPr="002B5836" w:rsidRDefault="00FF7B4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7458240" w14:textId="3CA25F11" w:rsidR="00EB2FF1" w:rsidRPr="002B5836" w:rsidRDefault="00EB2FF1" w:rsidP="00196360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>Edital de Chamamento Público</w:t>
      </w:r>
    </w:p>
    <w:p w14:paraId="1047D1B3" w14:textId="00EAD8CC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O GOVERNO DO MUNICÍPIO DE PORTO BELO, com sede na Avenida Governador Celso Ramos, Nº 2500 no Centro da cidade, Estado de Santa Catarina, inscrito no CNPJ 82.575.812/0001-</w:t>
      </w:r>
      <w:r w:rsidR="003E24BD" w:rsidRPr="002B5836">
        <w:rPr>
          <w:rFonts w:ascii="Arial" w:hAnsi="Arial" w:cs="Arial"/>
          <w:sz w:val="24"/>
          <w:szCs w:val="24"/>
          <w:vertAlign w:val="superscript"/>
        </w:rPr>
        <w:t>20, torna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público, para conhecimento dos interessados, que estão abertas as inscrições para formação da Subcomissão Técnica prevista na Lei Federal Nº. 12.232/2010, conforme abaixo: </w:t>
      </w:r>
    </w:p>
    <w:p w14:paraId="1257F5D1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REFERÊNCIA: </w:t>
      </w:r>
    </w:p>
    <w:p w14:paraId="23FF3825" w14:textId="7777777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Chamamento Público </w:t>
      </w:r>
    </w:p>
    <w:p w14:paraId="20AAE56C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OBJETO: </w:t>
      </w:r>
    </w:p>
    <w:p w14:paraId="37C2062C" w14:textId="7A7EE9A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Inscrição de profissionais formados em comunicação, publicidade ou marketing, e que atuem em uma dessas áreas, para compor a Subcomissão Técnica a ser constituída para análise e julgamento das propostas técnicas apresentadas em licitação na modalidade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 xml:space="preserve"> Concorrência por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Técnica e Preço, que será instaurada pelo Município de Porto Belo, objetivando a contratação de Agência para a prestação de serviços de publicidade. </w:t>
      </w:r>
    </w:p>
    <w:p w14:paraId="543A2E26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PRAZO PARA INSCRIÇÃO: </w:t>
      </w:r>
    </w:p>
    <w:p w14:paraId="31059D28" w14:textId="5549E7C9" w:rsidR="00936D8B" w:rsidRPr="002B5836" w:rsidRDefault="00A708ED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A</w:t>
      </w:r>
      <w:r w:rsidR="00936D8B" w:rsidRPr="002B5836">
        <w:rPr>
          <w:rFonts w:ascii="Arial" w:hAnsi="Arial" w:cs="Arial"/>
          <w:sz w:val="24"/>
          <w:szCs w:val="24"/>
          <w:vertAlign w:val="superscript"/>
        </w:rPr>
        <w:t xml:space="preserve">té às 14h do dia 20 de fevereiro de 2025. </w:t>
      </w:r>
    </w:p>
    <w:p w14:paraId="3E361209" w14:textId="77777777" w:rsidR="00A708ED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LOCAL DE INSCRIÇÃO: </w:t>
      </w:r>
    </w:p>
    <w:p w14:paraId="11E9C3D9" w14:textId="0D35A6FB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As inscrições deverão ser protocoladas no protocolo geral do município e encaminhadas ao Departamento de Comunicação, localizada no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 xml:space="preserve">Centro Administrativo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- Avenida Governador Celso Ramos, Nº 2500 no Centro – SC, ou através do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>e-mail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6" w:history="1">
        <w:r w:rsidRPr="002B5836">
          <w:rPr>
            <w:rStyle w:val="Hyperlink"/>
            <w:rFonts w:ascii="Arial" w:hAnsi="Arial" w:cs="Arial"/>
            <w:sz w:val="24"/>
            <w:szCs w:val="24"/>
            <w:vertAlign w:val="superscript"/>
          </w:rPr>
          <w:t>imprensa@portobelo.sc.gov.br</w:t>
        </w:r>
      </w:hyperlink>
      <w:r w:rsidRPr="002B5836">
        <w:rPr>
          <w:rFonts w:ascii="Arial" w:hAnsi="Arial" w:cs="Arial"/>
          <w:sz w:val="24"/>
          <w:szCs w:val="24"/>
          <w:vertAlign w:val="superscript"/>
        </w:rPr>
        <w:t xml:space="preserve"> com o título CHAMAMENTO PÚBLICO. </w:t>
      </w:r>
    </w:p>
    <w:p w14:paraId="514B71A5" w14:textId="7777777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Este Chamamento Público obedecerá à Lei Federal Nº. 12.232/2010 e às seguintes normas: </w:t>
      </w:r>
    </w:p>
    <w:p w14:paraId="14C5CC71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1. DAS CONDIÇÕES PARA INSCRIÇÃO: </w:t>
      </w:r>
    </w:p>
    <w:p w14:paraId="0F076E52" w14:textId="4CEE1D9C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1.1 - Poderão se inscrever no presente Chamamento Público os profissionais formados em comunicação, publicidade ou marketing,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>ou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que atuem em uma dessas áreas, que atendam aos requisitos deste Edital e aos da legislação específica. </w:t>
      </w:r>
    </w:p>
    <w:p w14:paraId="0B789291" w14:textId="5164F23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1.</w:t>
      </w:r>
      <w:r w:rsidR="002B5836">
        <w:rPr>
          <w:rFonts w:ascii="Arial" w:hAnsi="Arial" w:cs="Arial"/>
          <w:sz w:val="24"/>
          <w:szCs w:val="24"/>
          <w:vertAlign w:val="superscript"/>
        </w:rPr>
        <w:t>2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- A relação dos profissionais inscritos e a data da sessão pública a ser realizada para o sorteio dos nomes que irão compor a Subcomissão Técnica serão publicadas no Diário Oficial do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com pelo menos 10 (dez) dias de antecedência em relação à data que vier a ser fixada para a realização da sessão de sorteio, em observância ao disposto no § 4º do artigo 10 da Lei Federal Nº. 12.232/2010. </w:t>
      </w:r>
    </w:p>
    <w:p w14:paraId="150303A6" w14:textId="5A363E6C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1.</w:t>
      </w:r>
      <w:r w:rsidR="002B5836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- A inscrição feita pelo interessado significa pleno conhecimento e integral concordância com as cláusulas e condições deste Edital e total sujeição à legislação pertinente. </w:t>
      </w:r>
    </w:p>
    <w:p w14:paraId="7FCA7CC0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2. DO OBJETIVO DA SUBCOMISSÃO TÉCNICA </w:t>
      </w:r>
    </w:p>
    <w:p w14:paraId="2B99DD67" w14:textId="77777777" w:rsidR="00A708ED" w:rsidRPr="002B5836" w:rsidRDefault="00A708ED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D840726" w14:textId="77777777" w:rsidR="00A708ED" w:rsidRPr="002B5836" w:rsidRDefault="00A708ED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5A22555" w14:textId="77777777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EDBD28C" w14:textId="5C7E0CBF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ABBD260" w14:textId="77777777" w:rsidR="008D309C" w:rsidRPr="008D309C" w:rsidRDefault="008D309C" w:rsidP="008D309C">
      <w:pPr>
        <w:rPr>
          <w:rFonts w:ascii="Arial" w:hAnsi="Arial" w:cs="Arial"/>
          <w:sz w:val="24"/>
          <w:szCs w:val="24"/>
        </w:rPr>
      </w:pPr>
    </w:p>
    <w:p w14:paraId="06753C5E" w14:textId="77777777" w:rsidR="008D309C" w:rsidRDefault="008D309C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00B9657" w14:textId="0F1A7E8A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2.1 - Os profissionais sorteados irão atuar na Subcomissão Técnica que tem por objetivo analisar e julgar as propostas técnicas apresentadas em licitação na modalidade Concorrência por Melhor Técnica e Preço, que será instaurada pelo Município de Porto Belo, para a contratação de Agências para a prestação de serviços de publicidade. </w:t>
      </w:r>
    </w:p>
    <w:p w14:paraId="51609284" w14:textId="1B434BB0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2</w:t>
      </w:r>
      <w:r w:rsidR="002B5836">
        <w:rPr>
          <w:rFonts w:ascii="Arial" w:hAnsi="Arial" w:cs="Arial"/>
          <w:sz w:val="24"/>
          <w:szCs w:val="24"/>
          <w:vertAlign w:val="superscript"/>
        </w:rPr>
        <w:t xml:space="preserve">.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2 - Consoante o disposto no § 1º. do artigo 10 da Lei Federal Nº. 12.232/2010, as propostas técnicas apresentadas pelas licitantes serão analisadas e julgadas por uma Subcomissão Técnica, constituída por 03 (três) membros que deverão ser formados em comunicação, publicidade ou marketing, ou que atuem em uma dessas áreas, sendo que 1/3 (um terço) deles não poderá manter nenhum vínculo funcional ou contratual, direto ou indireto, com o Município de Porto Belo. </w:t>
      </w:r>
    </w:p>
    <w:p w14:paraId="6B7468D5" w14:textId="7777777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2.3 - A escolha dos membros da Subcomissão Técnica dar-se-á por sorteio, em sessão pública, entre os nomes de uma relação que terá, no mínimo, o triplo do número de integrantes da Subcomissão, previamente cadastrados. </w:t>
      </w:r>
    </w:p>
    <w:p w14:paraId="087F26B8" w14:textId="77777777" w:rsidR="00936D8B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3. DOS DOCUMENTOS PARA INSCRIÇÃO </w:t>
      </w:r>
    </w:p>
    <w:p w14:paraId="55B6F9D8" w14:textId="34B7AFF7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3.1 - A inscrição do profissional para integrar a Subcomissão Técnica será efetivada no prazo, horário e local definidos neste Edital, mediante a apresentação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 xml:space="preserve">de cópias simples, entregues de forma física ou por </w:t>
      </w:r>
      <w:r w:rsidR="002B5836" w:rsidRPr="002B5836">
        <w:rPr>
          <w:rFonts w:ascii="Arial" w:hAnsi="Arial" w:cs="Arial"/>
          <w:sz w:val="24"/>
          <w:szCs w:val="24"/>
          <w:vertAlign w:val="superscript"/>
        </w:rPr>
        <w:t>e-mail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dos seguintes documentos: </w:t>
      </w:r>
    </w:p>
    <w:p w14:paraId="74C50124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a) Ficha de inscrição (física ou scaneada), contendo a declaração do profissional de que mantém ou não mantém vínculo funcional ou contratual, direto ou indireto, com 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conforme ANEXO ÚNICO deste Edital; </w:t>
      </w:r>
    </w:p>
    <w:p w14:paraId="09044EF1" w14:textId="4CA8FD8A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b) Diploma de conclusão de curso de graduação na área de comunicação, publicidade ou marketing, fornecido por instituição de ensino superior reconhecida pelo Ministério da Educação, devidamente registrado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 xml:space="preserve">, ou </w:t>
      </w:r>
      <w:r w:rsidRPr="002B5836">
        <w:rPr>
          <w:rFonts w:ascii="Arial" w:hAnsi="Arial" w:cs="Arial"/>
          <w:sz w:val="24"/>
          <w:szCs w:val="24"/>
          <w:vertAlign w:val="superscript"/>
        </w:rPr>
        <w:t>comprovação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vínculo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empregatício ou outro documento hábil, de experiência em uma dessas áreas; </w:t>
      </w:r>
    </w:p>
    <w:p w14:paraId="061F6BE0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c) Cédula de Identidade ou documento equivalente com foto; </w:t>
      </w:r>
    </w:p>
    <w:p w14:paraId="2D934152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d) Comprovante de inscrição no Cadastro de Pessoas Físicas - CPF. </w:t>
      </w:r>
    </w:p>
    <w:p w14:paraId="41CBD48D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e) Documento comprobatório do vínculo funcional ou contratual, direto ou indireto, com o Município de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 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quando for o caso. </w:t>
      </w:r>
    </w:p>
    <w:p w14:paraId="2511D887" w14:textId="66339895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3.1.2 - Não será aceita inscrição sem a apresentação dos documentos acima discriminados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>.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4D0A7E44" w14:textId="725A1B2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3.</w:t>
      </w:r>
      <w:r w:rsidR="002B5836" w:rsidRPr="002B5836">
        <w:rPr>
          <w:rFonts w:ascii="Arial" w:hAnsi="Arial" w:cs="Arial"/>
          <w:sz w:val="24"/>
          <w:szCs w:val="24"/>
          <w:vertAlign w:val="superscript"/>
        </w:rPr>
        <w:t>2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–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O Município de Porto Belo confirmará a inscrição mediante confirmação do protocolo entregue presencialmente ou por meio de resposta do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>e-mail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 enviado.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924E67F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3.5. Serão indeferidas as inscrições que não atenderem às exigências constantes deste Edital. </w:t>
      </w:r>
    </w:p>
    <w:p w14:paraId="1BCA83C1" w14:textId="77777777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4. DA DEFINIÇÃO DOS MEMBROS DA SUBCOMISSÃO TÉCNICA </w:t>
      </w:r>
    </w:p>
    <w:p w14:paraId="3C8AC2E0" w14:textId="2C73AE9D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4.1 - A Subcomissão Técnica a ser constituída pelo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será composta por 3 (três) membros. </w:t>
      </w:r>
    </w:p>
    <w:p w14:paraId="6187AEC6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4.2 - A definição dos membros da Subcomissão Técnica dar-se-á por sorteio, em sessão pública com data, horário e local a serem oportunamente divulgados no Diário Oficial do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>.</w:t>
      </w:r>
    </w:p>
    <w:p w14:paraId="4AAAFA46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 4.3 - Após o término do prazo de inscrição, a relação dos profissionais inscritos será publicada no Diário Oficial do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em prazo não inferior a 10 (dez) dias da data em que será realizada a sessão pública marcada para o sorteio. </w:t>
      </w:r>
    </w:p>
    <w:p w14:paraId="2860D526" w14:textId="77777777" w:rsidR="00A708ED" w:rsidRPr="002B5836" w:rsidRDefault="00A708ED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FDEC776" w14:textId="77777777" w:rsidR="00401191" w:rsidRPr="002B5836" w:rsidRDefault="00401191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8270670" w14:textId="7096A878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4.4 - O sorteio dar-se-á entre os nomes de uma relação que terá, no mínimo, o triplo do número de integrantes da Subcomissão, previamente cadastrados nos termos deste Edital, sendo que 1/3 dos 3 profissionais não poderá ter vínculo funcional ou contratual, direto ou indireto, com 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Porto Belo, conforme Lei Nº12 232/2010. </w:t>
      </w:r>
    </w:p>
    <w:p w14:paraId="28CA9F10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4.5 - Os profissionais sorteados para compor a Subcomissão Técnica não serão remunerados. </w:t>
      </w:r>
    </w:p>
    <w:p w14:paraId="6EC09DA9" w14:textId="77777777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5. DA IMPUGNAÇÃO DOS INSCRITOS </w:t>
      </w:r>
    </w:p>
    <w:p w14:paraId="7460DB52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5.1 - Até 48 (quarenta e oito) horas antes da sessão pública destinada ao sorteio, qualquer interessado poderá impugnar pessoa integrante da relação a que se refere o subitem 4.3, mediante fundamentos jurídicos plausíveis. </w:t>
      </w:r>
    </w:p>
    <w:p w14:paraId="76B4CAE7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5.2 - Admitida a impugnação, o impugnado terá o direito de abster-se de atuar na Subcomissão Técnica, declarando-se impedido ou suspeito, antes da decisão da autoridade competente. </w:t>
      </w:r>
    </w:p>
    <w:p w14:paraId="6E9BE5CE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5.3 - A abstenção do impugnado ou o acolhimento da impugnação, mediante decisão fundamentada da autoridade competente, implicará, se necessário, a elaboração e a publicação de nova lista sem o nome impugnado, respeitado o disposto no artigo 10 da Lei Federal nº 12.232/2010. </w:t>
      </w:r>
    </w:p>
    <w:p w14:paraId="0FC4F3CF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5.3.1 - Será necessário elaborar e publicar nova relação se o número de membros mantidos depois da impugnação restar inferior ao mínimo exigido no subitem 6.2 deste Edital. </w:t>
      </w:r>
    </w:p>
    <w:p w14:paraId="1017225B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5.3.2 - Somente será admitida nova impugnação a nome que vier a completar a relação anteriormente publicada. </w:t>
      </w:r>
    </w:p>
    <w:p w14:paraId="6F9C75DA" w14:textId="4B7F0220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5.4 - A impugnação não poderá ser feita por intermédio de fax, correio eletrônico (e-mail) ou correios, devendo a </w:t>
      </w:r>
      <w:r w:rsidR="00A708ED" w:rsidRPr="002B5836">
        <w:rPr>
          <w:rFonts w:ascii="Arial" w:hAnsi="Arial" w:cs="Arial"/>
          <w:sz w:val="24"/>
          <w:szCs w:val="24"/>
          <w:vertAlign w:val="superscript"/>
        </w:rPr>
        <w:t>mesmo ser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protocolada no protocolo geral do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com sede na Avenida Governador Celso Ramos, Nº 2500 no Centro da cidade, Estado de Santa Catarina,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em dias úteis no horário das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8h às 14h. </w:t>
      </w:r>
    </w:p>
    <w:p w14:paraId="15E73B03" w14:textId="77777777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6. DO SORTEIO </w:t>
      </w:r>
    </w:p>
    <w:p w14:paraId="511F880B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6.1 - A sessão pública para o sorteio dos nomes que irão compor a Subcomissão Técnica será realizada após a decisão motivada de eventual impugnação, em data previamente designada, atendido o disposto no § 4º do artigo 10 da Lei Federal nº 12.232/2010, garantida a possibilidade de fiscalização do sorteio por qualquer interessado. </w:t>
      </w:r>
    </w:p>
    <w:p w14:paraId="0AD047C0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6.2 - Para a realização da sessão do sorteio que escolherá os membros da Subcomissão Técnica, a relação de inscritos deverá conter, no mínimo, o triplo do número de integrantes definido no subitem 4.1, conforme exige o § 2º do artigo 10 da Lei Federal nº 12.232/2010. </w:t>
      </w:r>
    </w:p>
    <w:p w14:paraId="3C147BCC" w14:textId="0E341184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6.3 - O sorteio será processado de modo a garantir o preenchimento das vagas da Subcomissão Técnica de acordo com a proporcionalidade do número de membros definida no § 1º do artigo 10 da Lei Federal nº 12.232/2010, sendo 2 (dois) membros que mantenham vínculo funcional ou contratual, direto ou indireto, com o Município de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e 1 (um) membro que não mantenha vínculo funcional ou contratual, direito ou indireto, com o Município de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 Porto Belo. </w:t>
      </w:r>
    </w:p>
    <w:p w14:paraId="0E247AF0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6.3.1. Todos os nomes constantes da relação de inscritos serão sorteados, sendo aqueles que não fizerem parte da Subcomissão Técnica serão registrados como suplentes, a serem convocados posteriormente no caso de eventual desistência de algum membro titular, observada a ordem de classificação e a proporcionalidade prevista no item 6.3. deste Edital. </w:t>
      </w:r>
    </w:p>
    <w:p w14:paraId="2C9B1EEB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6.4 - O resultado do sorteio será publicado no Diário Oficial do Município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de Porto Belo </w:t>
      </w:r>
      <w:r w:rsidRPr="002B5836">
        <w:rPr>
          <w:rFonts w:ascii="Arial" w:hAnsi="Arial" w:cs="Arial"/>
          <w:sz w:val="24"/>
          <w:szCs w:val="24"/>
          <w:vertAlign w:val="superscript"/>
        </w:rPr>
        <w:t>e no seu sítio ofício na internet (www.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portobelo.sc.gov.br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). </w:t>
      </w:r>
    </w:p>
    <w:p w14:paraId="0FC264AC" w14:textId="77777777" w:rsidR="004E5DF6" w:rsidRPr="002B5836" w:rsidRDefault="004E5DF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EAFDB5E" w14:textId="77777777" w:rsidR="004E5DF6" w:rsidRPr="002B5836" w:rsidRDefault="004E5DF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88940BF" w14:textId="2F9CD54E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7. DA VIGENCIA </w:t>
      </w:r>
    </w:p>
    <w:p w14:paraId="7FD7FA94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7.1. A Vigência da composição da subcomissão técnica objeto deste Edital se encerrará com a conclusão da Concorrência Pública, não ensejando, no entanto, a prescrição da lista de inscritos, que poderá ser utilizada pela Administração para realização de outros sorteios que se façam necessários para composição de subcomissões para certames afins. </w:t>
      </w:r>
    </w:p>
    <w:p w14:paraId="069683D5" w14:textId="77777777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8. DO ESCLARECIMENTO DE DÚVIDAS </w:t>
      </w:r>
    </w:p>
    <w:p w14:paraId="4B27307D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>8.1. As dúvidas relativas a este Chamamento Público poderão ser dirimidas pelos interessados, pessoalmente ou pelo telefone (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47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3369 41 11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, junto à Comissão Permanente de Licitação do Município 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>de Porto Belo</w:t>
      </w:r>
      <w:r w:rsidRPr="002B5836">
        <w:rPr>
          <w:rFonts w:ascii="Arial" w:hAnsi="Arial" w:cs="Arial"/>
          <w:sz w:val="24"/>
          <w:szCs w:val="24"/>
          <w:vertAlign w:val="superscript"/>
        </w:rPr>
        <w:t>, no horário de 08h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B5836">
        <w:rPr>
          <w:rFonts w:ascii="Arial" w:hAnsi="Arial" w:cs="Arial"/>
          <w:sz w:val="24"/>
          <w:szCs w:val="24"/>
          <w:vertAlign w:val="superscript"/>
        </w:rPr>
        <w:t>às 1</w:t>
      </w:r>
      <w:r w:rsidR="000E5770" w:rsidRPr="002B5836">
        <w:rPr>
          <w:rFonts w:ascii="Arial" w:hAnsi="Arial" w:cs="Arial"/>
          <w:sz w:val="24"/>
          <w:szCs w:val="24"/>
          <w:vertAlign w:val="superscript"/>
        </w:rPr>
        <w:t xml:space="preserve">4h 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em dias úteis, até a data prevista para o encerramento das inscrições. </w:t>
      </w:r>
    </w:p>
    <w:p w14:paraId="65B71BDC" w14:textId="77777777" w:rsidR="000E5770" w:rsidRPr="002B5836" w:rsidRDefault="00936D8B" w:rsidP="00196360">
      <w:pPr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5836">
        <w:rPr>
          <w:rFonts w:ascii="Arial" w:hAnsi="Arial" w:cs="Arial"/>
          <w:b/>
          <w:bCs/>
          <w:sz w:val="24"/>
          <w:szCs w:val="24"/>
          <w:vertAlign w:val="superscript"/>
        </w:rPr>
        <w:t xml:space="preserve">9. DAS DISPOSIÇÕES FINAIS </w:t>
      </w:r>
    </w:p>
    <w:p w14:paraId="7BFAA2CE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9.1 – Todos os procedimentos definidos neste Edital serão processados em conformidade com a Lei Federal nº 12.232/2010, aplicando-se, subsidiariamente, a Lei Federal nº 8.666/1993. </w:t>
      </w:r>
    </w:p>
    <w:p w14:paraId="3C89E5A9" w14:textId="77777777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9.2. Os casos omissos serão resolvidos pela autoridade competente. </w:t>
      </w:r>
    </w:p>
    <w:p w14:paraId="50D039CF" w14:textId="2C9E4821" w:rsidR="000E5770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9.3. A homologação do resultado do chamamento, bem como a realização da sessão pública para o sorteio não implicará obrigatoriedade de convocação de seus membros para atuação, caso não ocorram licitações ensejadas, tampouco no direito </w:t>
      </w:r>
      <w:r w:rsidR="002B5836" w:rsidRPr="002B5836">
        <w:rPr>
          <w:rFonts w:ascii="Arial" w:hAnsi="Arial" w:cs="Arial"/>
          <w:sz w:val="24"/>
          <w:szCs w:val="24"/>
          <w:vertAlign w:val="superscript"/>
        </w:rPr>
        <w:t>à</w:t>
      </w:r>
      <w:r w:rsidRPr="002B5836">
        <w:rPr>
          <w:rFonts w:ascii="Arial" w:hAnsi="Arial" w:cs="Arial"/>
          <w:sz w:val="24"/>
          <w:szCs w:val="24"/>
          <w:vertAlign w:val="superscript"/>
        </w:rPr>
        <w:t xml:space="preserve"> indenizações de qualquer natureza que visem compensar disponibilidade espontânea dos inscritos. </w:t>
      </w:r>
    </w:p>
    <w:p w14:paraId="29DC8662" w14:textId="4F41F327" w:rsidR="000E5770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B5836">
        <w:rPr>
          <w:rFonts w:ascii="Arial" w:hAnsi="Arial" w:cs="Arial"/>
          <w:sz w:val="24"/>
          <w:szCs w:val="24"/>
          <w:vertAlign w:val="superscript"/>
        </w:rPr>
        <w:t xml:space="preserve">9.4. Dos atos praticados e das sessões públicas realizadas, a Administração procederá ao efetivo registro, preferencialmente em ATA circunstanciada, na qual estarão registrados todos os autos do procedimento e as ocorrências relevantes, que estarão disponíveis para consulta. </w:t>
      </w:r>
    </w:p>
    <w:p w14:paraId="3019FEDA" w14:textId="7052C94F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301CCEB" w14:textId="671F1887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EFCE5FC" w14:textId="370FC073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256D5B0" w14:textId="0850BFF2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CE055E6" w14:textId="654C07C2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0D287F3" w14:textId="17B65364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8A9DC33" w14:textId="37716532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44412BF" w14:textId="128FEC3A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6662172" w14:textId="071DEAFC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1CC6D7C" w14:textId="3A9100C5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7D74D6C" w14:textId="49C2097E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3F2F7C6" w14:textId="0B1827F9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8C2220C" w14:textId="0AA0EEBE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AF3B455" w14:textId="5259FB64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610E155A" w14:textId="7455F85B" w:rsidR="002B5836" w:rsidRDefault="002B5836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07CAE13" w14:textId="2EC8DA6A" w:rsidR="002B5836" w:rsidRPr="002B5836" w:rsidRDefault="002B5836" w:rsidP="001963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B5836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Ú</w:t>
      </w:r>
      <w:r w:rsidRPr="002B5836">
        <w:rPr>
          <w:rFonts w:ascii="Arial" w:hAnsi="Arial" w:cs="Arial"/>
          <w:b/>
          <w:bCs/>
          <w:sz w:val="24"/>
          <w:szCs w:val="24"/>
        </w:rPr>
        <w:t>NICO</w:t>
      </w:r>
    </w:p>
    <w:p w14:paraId="3340A76B" w14:textId="52638F48" w:rsidR="002B5836" w:rsidRPr="002B5836" w:rsidRDefault="002B5836" w:rsidP="001963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B5836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58CDF482" w14:textId="77777777" w:rsidR="002B5836" w:rsidRPr="002B5836" w:rsidRDefault="002B5836" w:rsidP="00196360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B5836" w:rsidRPr="002B5836" w14:paraId="2B2565F5" w14:textId="77777777" w:rsidTr="002B5836">
        <w:tc>
          <w:tcPr>
            <w:tcW w:w="8494" w:type="dxa"/>
            <w:gridSpan w:val="2"/>
          </w:tcPr>
          <w:p w14:paraId="544B3377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NOME:</w:t>
            </w:r>
          </w:p>
          <w:p w14:paraId="2E9BD41F" w14:textId="1F7E889A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2B3302F8" w14:textId="77777777" w:rsidTr="009733CB">
        <w:tc>
          <w:tcPr>
            <w:tcW w:w="4247" w:type="dxa"/>
          </w:tcPr>
          <w:p w14:paraId="373D0A87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 xml:space="preserve">NACIONALIDADE: </w:t>
            </w:r>
          </w:p>
        </w:tc>
        <w:tc>
          <w:tcPr>
            <w:tcW w:w="4247" w:type="dxa"/>
          </w:tcPr>
          <w:p w14:paraId="0D9FCDB7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ESTADO CIVIL:</w:t>
            </w:r>
          </w:p>
          <w:p w14:paraId="54C52BED" w14:textId="596B8A2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79CD3192" w14:textId="77777777" w:rsidTr="002B5836">
        <w:tc>
          <w:tcPr>
            <w:tcW w:w="8494" w:type="dxa"/>
            <w:gridSpan w:val="2"/>
          </w:tcPr>
          <w:p w14:paraId="4D2999A9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LOCAL DE TRABALHO:</w:t>
            </w:r>
          </w:p>
          <w:p w14:paraId="5F05BA69" w14:textId="7E599156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52A6EFE3" w14:textId="77777777" w:rsidTr="00DE6B4C">
        <w:tc>
          <w:tcPr>
            <w:tcW w:w="4247" w:type="dxa"/>
          </w:tcPr>
          <w:p w14:paraId="01F04608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4247" w:type="dxa"/>
          </w:tcPr>
          <w:p w14:paraId="058E8DBF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CPF:</w:t>
            </w:r>
          </w:p>
          <w:p w14:paraId="4FF3AFAA" w14:textId="6D8795E6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6660DA71" w14:textId="77777777" w:rsidTr="002B5836">
        <w:tc>
          <w:tcPr>
            <w:tcW w:w="8494" w:type="dxa"/>
            <w:gridSpan w:val="2"/>
          </w:tcPr>
          <w:p w14:paraId="451FF019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ENDEREÇO:</w:t>
            </w:r>
          </w:p>
          <w:p w14:paraId="694DBD37" w14:textId="7803CEC2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6EE6725C" w14:textId="77777777" w:rsidTr="002B5836">
        <w:tc>
          <w:tcPr>
            <w:tcW w:w="8494" w:type="dxa"/>
            <w:gridSpan w:val="2"/>
          </w:tcPr>
          <w:p w14:paraId="59F5F4D6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>TELEFONE:</w:t>
            </w:r>
          </w:p>
          <w:p w14:paraId="2CA91DBC" w14:textId="4FD5D916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B5836" w:rsidRPr="002B5836" w14:paraId="3105F07E" w14:textId="77777777" w:rsidTr="002B5836">
        <w:tc>
          <w:tcPr>
            <w:tcW w:w="8494" w:type="dxa"/>
            <w:gridSpan w:val="2"/>
          </w:tcPr>
          <w:p w14:paraId="2005C66A" w14:textId="77777777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  <w:r w:rsidRPr="002B5836">
              <w:rPr>
                <w:b/>
                <w:bCs/>
                <w:sz w:val="20"/>
                <w:szCs w:val="20"/>
              </w:rPr>
              <w:t xml:space="preserve">E-MAIL: </w:t>
            </w:r>
          </w:p>
          <w:p w14:paraId="19BE350D" w14:textId="1DECC9C8" w:rsidR="002B5836" w:rsidRPr="002B5836" w:rsidRDefault="002B5836" w:rsidP="001963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27067E7" w14:textId="77777777" w:rsidR="002B5836" w:rsidRDefault="002B5836" w:rsidP="00196360">
      <w:pPr>
        <w:jc w:val="both"/>
      </w:pPr>
    </w:p>
    <w:p w14:paraId="76737B6C" w14:textId="77777777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  <w:r w:rsidRPr="002B5836">
        <w:rPr>
          <w:rFonts w:ascii="Arial" w:hAnsi="Arial" w:cs="Arial"/>
          <w:sz w:val="24"/>
          <w:szCs w:val="24"/>
        </w:rPr>
        <w:t xml:space="preserve">Solicito minha inscrição para participar do sorteio para compor a Subcomissão Técnica, a qual será responsável pela análise e julgamento das propostas técnicas apresentadas em licitação na modalidade Concorrência por técnica e preço, que será instaurada pelo Município de Porto Belo, objetivando a contratação de Agência de Propaganda para prestação de serviços de publicidade, nos termos do artigo 10 da Lei Federal nº 12.232/2010. </w:t>
      </w:r>
    </w:p>
    <w:p w14:paraId="7E5C2F76" w14:textId="1360273A" w:rsid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  <w:r w:rsidRPr="002B5836">
        <w:rPr>
          <w:rFonts w:ascii="Arial" w:hAnsi="Arial" w:cs="Arial"/>
          <w:sz w:val="24"/>
          <w:szCs w:val="24"/>
        </w:rPr>
        <w:t>Declaro, para os fins a que se destina, e para efetivo atendimento do que dispõem os §§ 1º e 9º do artigo 10 da Lei Federal nº 12.232/2010, que _____________________ (mantenho/não mantenho) vínculo funcional ou contratual, direto ou indireto, com o Município de Porto Belo- SC. Declaro, ainda, que estou ciente da íntegra do respectivo edital e, para atendimento, anexo os documentos exigidos.</w:t>
      </w:r>
    </w:p>
    <w:p w14:paraId="6ACD880D" w14:textId="77777777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</w:p>
    <w:p w14:paraId="59965A76" w14:textId="646AA575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  <w:r w:rsidRPr="002B5836">
        <w:rPr>
          <w:rFonts w:ascii="Arial" w:hAnsi="Arial" w:cs="Arial"/>
          <w:sz w:val="24"/>
          <w:szCs w:val="24"/>
        </w:rPr>
        <w:t>Porto Belo, _____ de ______________ de 2025.</w:t>
      </w:r>
    </w:p>
    <w:p w14:paraId="0EFF0F13" w14:textId="77777777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</w:p>
    <w:p w14:paraId="2AE2331A" w14:textId="1A6AD1CB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  <w:r w:rsidRPr="002B5836">
        <w:rPr>
          <w:rFonts w:ascii="Arial" w:hAnsi="Arial" w:cs="Arial"/>
          <w:sz w:val="24"/>
          <w:szCs w:val="24"/>
        </w:rPr>
        <w:t>______________________________________</w:t>
      </w:r>
    </w:p>
    <w:p w14:paraId="7A332BD4" w14:textId="50386377" w:rsidR="002B5836" w:rsidRP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  <w:r w:rsidRPr="002B5836">
        <w:rPr>
          <w:rFonts w:ascii="Arial" w:hAnsi="Arial" w:cs="Arial"/>
          <w:sz w:val="24"/>
          <w:szCs w:val="24"/>
        </w:rPr>
        <w:t>(assinatura)</w:t>
      </w:r>
    </w:p>
    <w:p w14:paraId="362740E1" w14:textId="77777777" w:rsidR="002B5836" w:rsidRDefault="002B5836" w:rsidP="00196360">
      <w:pPr>
        <w:jc w:val="both"/>
        <w:rPr>
          <w:rFonts w:ascii="Arial" w:hAnsi="Arial" w:cs="Arial"/>
          <w:sz w:val="24"/>
          <w:szCs w:val="24"/>
        </w:rPr>
      </w:pPr>
    </w:p>
    <w:p w14:paraId="30D583BE" w14:textId="69E94C76" w:rsidR="000E5770" w:rsidRPr="002B5836" w:rsidRDefault="002B5836" w:rsidP="00196360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2B5836">
        <w:rPr>
          <w:rFonts w:ascii="Arial" w:hAnsi="Arial" w:cs="Arial"/>
          <w:sz w:val="20"/>
          <w:szCs w:val="20"/>
        </w:rPr>
        <w:t>Observação: Em caso de vínculo com o Município de Porto Belo – SC, deverá ser anexada cópia do documento comprobatório</w:t>
      </w:r>
    </w:p>
    <w:p w14:paraId="15F7BCCE" w14:textId="233C106C" w:rsidR="00936D8B" w:rsidRPr="002B5836" w:rsidRDefault="00936D8B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524EB8B4" w14:textId="77777777" w:rsidR="000E5770" w:rsidRPr="002B5836" w:rsidRDefault="000E5770" w:rsidP="00196360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0E5770" w:rsidRPr="002B58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9DC7" w14:textId="77777777" w:rsidR="00960EF2" w:rsidRDefault="00960EF2" w:rsidP="00EB2FF1">
      <w:pPr>
        <w:spacing w:after="0" w:line="240" w:lineRule="auto"/>
      </w:pPr>
      <w:r>
        <w:separator/>
      </w:r>
    </w:p>
  </w:endnote>
  <w:endnote w:type="continuationSeparator" w:id="0">
    <w:p w14:paraId="16FD4EE4" w14:textId="77777777" w:rsidR="00960EF2" w:rsidRDefault="00960EF2" w:rsidP="00EB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8720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701282" w14:textId="3DC2F7F0" w:rsidR="008D309C" w:rsidRDefault="008D309C">
            <w:pPr>
              <w:pStyle w:val="Rodap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B58D024" wp14:editId="53EB90AF">
                  <wp:simplePos x="0" y="0"/>
                  <wp:positionH relativeFrom="margin">
                    <wp:posOffset>481965</wp:posOffset>
                  </wp:positionH>
                  <wp:positionV relativeFrom="paragraph">
                    <wp:posOffset>3810</wp:posOffset>
                  </wp:positionV>
                  <wp:extent cx="3333115" cy="654050"/>
                  <wp:effectExtent l="0" t="0" r="0" b="0"/>
                  <wp:wrapSquare wrapText="bothSides"/>
                  <wp:docPr id="68181724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17242" name="Imagem 68181724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275" b="41087"/>
                          <a:stretch/>
                        </pic:blipFill>
                        <pic:spPr bwMode="auto">
                          <a:xfrm>
                            <a:off x="0" y="0"/>
                            <a:ext cx="3333115" cy="65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4BF6FC" w14:textId="061DBC06" w:rsidR="008D309C" w:rsidRDefault="008D309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CD82B3" w14:textId="36E9CFD8" w:rsidR="00EB2FF1" w:rsidRDefault="00EB2F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ACE8" w14:textId="77777777" w:rsidR="00960EF2" w:rsidRDefault="00960EF2" w:rsidP="00EB2FF1">
      <w:pPr>
        <w:spacing w:after="0" w:line="240" w:lineRule="auto"/>
      </w:pPr>
      <w:r>
        <w:separator/>
      </w:r>
    </w:p>
  </w:footnote>
  <w:footnote w:type="continuationSeparator" w:id="0">
    <w:p w14:paraId="565F8B89" w14:textId="77777777" w:rsidR="00960EF2" w:rsidRDefault="00960EF2" w:rsidP="00EB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E3D2" w14:textId="1896D6EB" w:rsidR="00EB2FF1" w:rsidRDefault="00A708E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94FD465" wp14:editId="7A23226A">
          <wp:simplePos x="0" y="0"/>
          <wp:positionH relativeFrom="column">
            <wp:posOffset>1758322</wp:posOffset>
          </wp:positionH>
          <wp:positionV relativeFrom="paragraph">
            <wp:posOffset>-92441</wp:posOffset>
          </wp:positionV>
          <wp:extent cx="1407795" cy="720090"/>
          <wp:effectExtent l="0" t="0" r="0" b="0"/>
          <wp:wrapSquare wrapText="bothSides"/>
          <wp:docPr id="9649677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67721" name="Imagem 9649677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37" t="35631" r="17628" b="32796"/>
                  <a:stretch/>
                </pic:blipFill>
                <pic:spPr bwMode="auto">
                  <a:xfrm>
                    <a:off x="0" y="0"/>
                    <a:ext cx="1407795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D3DCB9" w14:textId="30286426" w:rsidR="00EB2FF1" w:rsidRDefault="00EB2F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F1"/>
    <w:rsid w:val="000E5770"/>
    <w:rsid w:val="00196360"/>
    <w:rsid w:val="0026069B"/>
    <w:rsid w:val="002B5836"/>
    <w:rsid w:val="003E24BD"/>
    <w:rsid w:val="00401191"/>
    <w:rsid w:val="004E5DF6"/>
    <w:rsid w:val="008D309C"/>
    <w:rsid w:val="00936D8B"/>
    <w:rsid w:val="00960EF2"/>
    <w:rsid w:val="00A708ED"/>
    <w:rsid w:val="00E956E9"/>
    <w:rsid w:val="00EB2FF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D40B2"/>
  <w15:chartTrackingRefBased/>
  <w15:docId w15:val="{05B7C7BD-CC10-4192-9D60-B3A852B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FF1"/>
  </w:style>
  <w:style w:type="paragraph" w:styleId="Rodap">
    <w:name w:val="footer"/>
    <w:basedOn w:val="Normal"/>
    <w:link w:val="RodapChar"/>
    <w:uiPriority w:val="99"/>
    <w:unhideWhenUsed/>
    <w:rsid w:val="00EB2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FF1"/>
  </w:style>
  <w:style w:type="character" w:styleId="Hyperlink">
    <w:name w:val="Hyperlink"/>
    <w:basedOn w:val="Fontepargpadro"/>
    <w:uiPriority w:val="99"/>
    <w:unhideWhenUsed/>
    <w:rsid w:val="00936D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D8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B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nsa@portobelo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1723</Words>
  <Characters>9737</Characters>
  <Application>Microsoft Office Word</Application>
  <DocSecurity>0</DocSecurity>
  <Lines>198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Cordeiro</dc:creator>
  <cp:keywords/>
  <dc:description/>
  <cp:lastModifiedBy>Ana Cordeiro</cp:lastModifiedBy>
  <cp:revision>3</cp:revision>
  <cp:lastPrinted>2025-02-11T16:48:00Z</cp:lastPrinted>
  <dcterms:created xsi:type="dcterms:W3CDTF">2025-02-12T13:42:00Z</dcterms:created>
  <dcterms:modified xsi:type="dcterms:W3CDTF">2025-02-12T13:55:00Z</dcterms:modified>
</cp:coreProperties>
</file>